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8A" w:rsidRDefault="00A8488A" w:rsidP="00743F20">
      <w:pPr>
        <w:shd w:val="clear" w:color="auto" w:fill="FFFFFF"/>
        <w:tabs>
          <w:tab w:val="left" w:pos="567"/>
          <w:tab w:val="left" w:pos="709"/>
          <w:tab w:val="left" w:pos="851"/>
        </w:tabs>
        <w:spacing w:line="276" w:lineRule="auto"/>
        <w:jc w:val="center"/>
        <w:rPr>
          <w:b/>
        </w:rPr>
      </w:pPr>
      <w:bookmarkStart w:id="0" w:name="_GoBack"/>
      <w:bookmarkEnd w:id="0"/>
      <w:r>
        <w:rPr>
          <w:b/>
        </w:rPr>
        <w:t xml:space="preserve">ТЕХНИЧЕСКА СПЕЦИФИКАЦИЯ </w:t>
      </w:r>
    </w:p>
    <w:p w:rsidR="00743F20" w:rsidRDefault="00743F20" w:rsidP="00743F20">
      <w:pPr>
        <w:shd w:val="clear" w:color="auto" w:fill="FFFFFF"/>
        <w:tabs>
          <w:tab w:val="left" w:pos="567"/>
          <w:tab w:val="left" w:pos="709"/>
          <w:tab w:val="left" w:pos="851"/>
        </w:tabs>
        <w:spacing w:line="276" w:lineRule="auto"/>
        <w:jc w:val="center"/>
        <w:rPr>
          <w:b/>
        </w:rPr>
      </w:pPr>
      <w:r>
        <w:rPr>
          <w:b/>
        </w:rPr>
        <w:t>ЗА ОБЩЕСТВЕНА ПОРЪЧКА С ПРЕДМЕТ: „ИЗРАБОТВАНЕ НА ПРОЕКТ</w:t>
      </w:r>
    </w:p>
    <w:p w:rsidR="00743F20" w:rsidRDefault="00743F20" w:rsidP="00743F20">
      <w:pPr>
        <w:shd w:val="clear" w:color="auto" w:fill="FFFFFF"/>
        <w:tabs>
          <w:tab w:val="left" w:pos="567"/>
          <w:tab w:val="left" w:pos="709"/>
          <w:tab w:val="left" w:pos="851"/>
        </w:tabs>
        <w:spacing w:line="276" w:lineRule="auto"/>
        <w:jc w:val="center"/>
        <w:rPr>
          <w:b/>
        </w:rPr>
      </w:pPr>
      <w:r>
        <w:rPr>
          <w:b/>
        </w:rPr>
        <w:t>ЗА УКРЕПВАНЕ НА СВЛАЧИЩЕ НА ПЪТ ЗА С.ВИТАНОВЦИ“</w:t>
      </w:r>
    </w:p>
    <w:p w:rsidR="00743F20" w:rsidRDefault="00743F20" w:rsidP="000C2D19">
      <w:pPr>
        <w:shd w:val="clear" w:color="auto" w:fill="FFFFFF"/>
        <w:tabs>
          <w:tab w:val="left" w:pos="567"/>
          <w:tab w:val="left" w:pos="709"/>
          <w:tab w:val="left" w:pos="851"/>
        </w:tabs>
        <w:spacing w:line="276" w:lineRule="auto"/>
        <w:ind w:firstLine="567"/>
        <w:jc w:val="both"/>
        <w:rPr>
          <w:b/>
        </w:rPr>
      </w:pPr>
    </w:p>
    <w:p w:rsidR="000C2D19" w:rsidRPr="009B038B" w:rsidRDefault="0020342C" w:rsidP="0020342C">
      <w:pPr>
        <w:shd w:val="clear" w:color="auto" w:fill="FFFFFF"/>
        <w:tabs>
          <w:tab w:val="left" w:pos="567"/>
          <w:tab w:val="left" w:pos="709"/>
          <w:tab w:val="left" w:pos="851"/>
        </w:tabs>
        <w:spacing w:line="276" w:lineRule="auto"/>
        <w:jc w:val="both"/>
      </w:pPr>
      <w:r>
        <w:rPr>
          <w:b/>
        </w:rPr>
        <w:tab/>
      </w:r>
      <w:r>
        <w:t>Ц</w:t>
      </w:r>
      <w:r w:rsidRPr="002176B6">
        <w:t xml:space="preserve">ел на обществената поръчка е </w:t>
      </w:r>
      <w:r w:rsidR="00944E47">
        <w:t xml:space="preserve">Община Перник </w:t>
      </w:r>
      <w:r>
        <w:t xml:space="preserve">да осигури технически проект </w:t>
      </w:r>
      <w:r w:rsidR="0012231E">
        <w:t xml:space="preserve">за укрепване на свлачищния участък на път </w:t>
      </w:r>
      <w:r w:rsidR="0012231E">
        <w:rPr>
          <w:lang w:val="en-US"/>
        </w:rPr>
        <w:t xml:space="preserve">PER </w:t>
      </w:r>
      <w:r w:rsidR="0016503F">
        <w:rPr>
          <w:lang w:val="en-US"/>
        </w:rPr>
        <w:t>2099</w:t>
      </w:r>
      <w:r w:rsidR="0016503F">
        <w:t>/</w:t>
      </w:r>
      <w:r w:rsidR="0016503F">
        <w:rPr>
          <w:lang w:val="en-US"/>
        </w:rPr>
        <w:t>III</w:t>
      </w:r>
      <w:r w:rsidR="0016503F">
        <w:t xml:space="preserve"> – 605, Батановци – п.к. Ярджиловци/ </w:t>
      </w:r>
      <w:r w:rsidR="00586E15">
        <w:t>–</w:t>
      </w:r>
      <w:r w:rsidR="0016503F">
        <w:t xml:space="preserve"> Витановци – /</w:t>
      </w:r>
      <w:r w:rsidR="0016503F">
        <w:rPr>
          <w:lang w:val="en-US"/>
        </w:rPr>
        <w:t>II</w:t>
      </w:r>
      <w:r w:rsidR="0016503F">
        <w:t xml:space="preserve"> – 63/, Община Перник</w:t>
      </w:r>
      <w:r w:rsidRPr="00F56575">
        <w:t>.</w:t>
      </w:r>
    </w:p>
    <w:p w:rsidR="000C2D19" w:rsidRDefault="0016503F" w:rsidP="000C2D19">
      <w:pPr>
        <w:shd w:val="clear" w:color="auto" w:fill="FFFFFF"/>
        <w:tabs>
          <w:tab w:val="left" w:pos="567"/>
          <w:tab w:val="left" w:pos="709"/>
          <w:tab w:val="left" w:pos="851"/>
        </w:tabs>
        <w:spacing w:line="276" w:lineRule="auto"/>
        <w:ind w:firstLine="567"/>
        <w:jc w:val="both"/>
      </w:pPr>
      <w:r>
        <w:t>Изработеното проектно решение трябва да осигури напълно</w:t>
      </w:r>
      <w:r w:rsidR="000C2D19">
        <w:t xml:space="preserve"> съответствието с изискванията към строежите по </w:t>
      </w:r>
      <w:r w:rsidR="00944E47">
        <w:t>реда на чл. 169 и условията на чл. 96</w:t>
      </w:r>
      <w:r w:rsidR="00944E47" w:rsidRPr="00944E47">
        <w:t xml:space="preserve"> </w:t>
      </w:r>
      <w:r w:rsidR="00944E47">
        <w:t>от ЗУТ.</w:t>
      </w:r>
    </w:p>
    <w:p w:rsidR="000C2D19" w:rsidRDefault="000C2D19" w:rsidP="000C2D19">
      <w:pPr>
        <w:shd w:val="clear" w:color="auto" w:fill="FFFFFF"/>
        <w:tabs>
          <w:tab w:val="left" w:pos="567"/>
          <w:tab w:val="left" w:pos="709"/>
          <w:tab w:val="left" w:pos="851"/>
        </w:tabs>
        <w:spacing w:line="276" w:lineRule="auto"/>
        <w:ind w:firstLine="567"/>
        <w:jc w:val="both"/>
      </w:pPr>
      <w:r>
        <w:t>Проектната документация да осигурява всички необходими, съобразно спецификата на обекта части и да бъде изработена в обем и съдържание, достатъчни за изпълнение на строителството, с конкретни проектни решени</w:t>
      </w:r>
      <w:r w:rsidR="0016503F">
        <w:t>я, видове и количества СМР</w:t>
      </w:r>
      <w:r>
        <w:t>.</w:t>
      </w:r>
    </w:p>
    <w:p w:rsidR="00017157" w:rsidRPr="00017157" w:rsidRDefault="00017157" w:rsidP="00017157">
      <w:pPr>
        <w:shd w:val="clear" w:color="auto" w:fill="FFFFFF"/>
        <w:tabs>
          <w:tab w:val="left" w:pos="0"/>
          <w:tab w:val="left" w:pos="993"/>
        </w:tabs>
        <w:spacing w:line="276" w:lineRule="auto"/>
        <w:ind w:firstLine="567"/>
        <w:jc w:val="both"/>
        <w:rPr>
          <w:lang w:eastAsia="en-US"/>
        </w:rPr>
      </w:pPr>
      <w:r w:rsidRPr="00017157">
        <w:rPr>
          <w:lang w:eastAsia="en-US"/>
        </w:rPr>
        <w:t>При изпълнение на обществената поръчка, следва да се спазват приложимите за предмета й изисквания на:</w:t>
      </w:r>
    </w:p>
    <w:p w:rsidR="0085513C" w:rsidRDefault="00017157" w:rsidP="00017157">
      <w:pPr>
        <w:widowControl w:val="0"/>
        <w:shd w:val="clear" w:color="auto" w:fill="FFFFFF"/>
        <w:tabs>
          <w:tab w:val="left" w:pos="0"/>
        </w:tabs>
        <w:autoSpaceDE w:val="0"/>
        <w:autoSpaceDN w:val="0"/>
        <w:adjustRightInd w:val="0"/>
        <w:spacing w:line="276" w:lineRule="auto"/>
        <w:ind w:firstLine="567"/>
        <w:jc w:val="both"/>
      </w:pPr>
      <w:r w:rsidRPr="00017157">
        <w:rPr>
          <w:b/>
        </w:rPr>
        <w:t>а)</w:t>
      </w:r>
      <w:r w:rsidR="008E4800">
        <w:t xml:space="preserve"> Заданието</w:t>
      </w:r>
      <w:r w:rsidRPr="00017157">
        <w:t xml:space="preserve"> за проект</w:t>
      </w:r>
      <w:r w:rsidR="008E4800">
        <w:t>иране, с кое</w:t>
      </w:r>
      <w:r w:rsidRPr="00017157">
        <w:t>то се определят изискванията за обхвата и съдържа</w:t>
      </w:r>
      <w:r w:rsidR="008E4800">
        <w:t>нието на проектните разработки</w:t>
      </w:r>
      <w:r w:rsidR="0085513C">
        <w:t>;</w:t>
      </w:r>
    </w:p>
    <w:p w:rsidR="00017157" w:rsidRPr="00017157" w:rsidRDefault="0085513C" w:rsidP="0085513C">
      <w:pPr>
        <w:widowControl w:val="0"/>
        <w:shd w:val="clear" w:color="auto" w:fill="FFFFFF"/>
        <w:tabs>
          <w:tab w:val="left" w:pos="0"/>
        </w:tabs>
        <w:autoSpaceDE w:val="0"/>
        <w:autoSpaceDN w:val="0"/>
        <w:adjustRightInd w:val="0"/>
        <w:spacing w:line="276" w:lineRule="auto"/>
        <w:ind w:firstLine="567"/>
        <w:jc w:val="both"/>
      </w:pPr>
      <w:r w:rsidRPr="0085513C">
        <w:rPr>
          <w:b/>
        </w:rPr>
        <w:t>б</w:t>
      </w:r>
      <w:r w:rsidRPr="00017157">
        <w:rPr>
          <w:b/>
        </w:rPr>
        <w:t>)</w:t>
      </w:r>
      <w:r>
        <w:t xml:space="preserve"> Наредба 12/</w:t>
      </w:r>
      <w:r w:rsidR="00C32372">
        <w:t xml:space="preserve">2001 г. на МРРБ за проектиране на </w:t>
      </w:r>
      <w:proofErr w:type="spellStart"/>
      <w:r w:rsidR="00C32372">
        <w:t>геозащитни</w:t>
      </w:r>
      <w:proofErr w:type="spellEnd"/>
      <w:r w:rsidR="00C32372">
        <w:t xml:space="preserve"> строежи, сгради и съоръжения в свлачищни райони</w:t>
      </w:r>
      <w:r w:rsidRPr="00017157">
        <w:t>;</w:t>
      </w:r>
    </w:p>
    <w:p w:rsidR="00017157" w:rsidRDefault="008E4800" w:rsidP="00017157">
      <w:pPr>
        <w:widowControl w:val="0"/>
        <w:shd w:val="clear" w:color="auto" w:fill="FFFFFF"/>
        <w:tabs>
          <w:tab w:val="left" w:pos="0"/>
        </w:tabs>
        <w:autoSpaceDE w:val="0"/>
        <w:autoSpaceDN w:val="0"/>
        <w:adjustRightInd w:val="0"/>
        <w:spacing w:line="276" w:lineRule="auto"/>
        <w:ind w:firstLine="567"/>
        <w:jc w:val="both"/>
      </w:pPr>
      <w:r>
        <w:rPr>
          <w:b/>
        </w:rPr>
        <w:t>б</w:t>
      </w:r>
      <w:r w:rsidR="00017157" w:rsidRPr="00017157">
        <w:rPr>
          <w:b/>
        </w:rPr>
        <w:t>)</w:t>
      </w:r>
      <w:r w:rsidR="00017157" w:rsidRPr="00017157">
        <w:t xml:space="preserve"> Закон за устройство на територията (ЗУТ);</w:t>
      </w:r>
    </w:p>
    <w:p w:rsidR="00017157" w:rsidRDefault="008E4800" w:rsidP="00017157">
      <w:pPr>
        <w:widowControl w:val="0"/>
        <w:shd w:val="clear" w:color="auto" w:fill="FFFFFF"/>
        <w:tabs>
          <w:tab w:val="left" w:pos="0"/>
        </w:tabs>
        <w:autoSpaceDE w:val="0"/>
        <w:autoSpaceDN w:val="0"/>
        <w:adjustRightInd w:val="0"/>
        <w:spacing w:line="276" w:lineRule="auto"/>
        <w:ind w:firstLine="567"/>
        <w:jc w:val="both"/>
      </w:pPr>
      <w:r>
        <w:rPr>
          <w:b/>
        </w:rPr>
        <w:t>в</w:t>
      </w:r>
      <w:r w:rsidR="00017157" w:rsidRPr="00017157">
        <w:rPr>
          <w:b/>
        </w:rPr>
        <w:t>)</w:t>
      </w:r>
      <w:r w:rsidR="00ED3A69">
        <w:rPr>
          <w:b/>
        </w:rPr>
        <w:t xml:space="preserve"> </w:t>
      </w:r>
      <w:r w:rsidR="00017157" w:rsidRPr="00017157">
        <w:t xml:space="preserve">Техническите правила </w:t>
      </w:r>
      <w:r>
        <w:t xml:space="preserve">и норми за проектиране на </w:t>
      </w:r>
      <w:proofErr w:type="spellStart"/>
      <w:r>
        <w:t>свлачища</w:t>
      </w:r>
      <w:proofErr w:type="spellEnd"/>
      <w:r w:rsidR="00017157" w:rsidRPr="00017157">
        <w:t>, стандарти, технически указания, както и всички други нормативни документи,</w:t>
      </w:r>
      <w:r w:rsidR="001C7C30">
        <w:t xml:space="preserve"> включително </w:t>
      </w:r>
      <w:r w:rsidR="001C7C30" w:rsidRPr="00606710">
        <w:rPr>
          <w:lang w:eastAsia="en-US"/>
        </w:rPr>
        <w:t xml:space="preserve">указателни писма </w:t>
      </w:r>
      <w:r w:rsidR="001C7C30" w:rsidRPr="00606710">
        <w:t xml:space="preserve">с изх. № 03-01-7/21.01.2015 г. и № 03-01-7/24.02.2016 г. на Министъра на регионалното развитие и благоустройството, </w:t>
      </w:r>
      <w:r w:rsidR="00017157" w:rsidRPr="00606710">
        <w:t>приложими за изпълнение на съответните дейности, предмет</w:t>
      </w:r>
      <w:r w:rsidR="00017157" w:rsidRPr="00017157">
        <w:t xml:space="preserve"> на обществената поръчка.</w:t>
      </w:r>
    </w:p>
    <w:p w:rsidR="00ED3A69" w:rsidRDefault="00ED3A69" w:rsidP="00017157">
      <w:pPr>
        <w:widowControl w:val="0"/>
        <w:shd w:val="clear" w:color="auto" w:fill="FFFFFF"/>
        <w:tabs>
          <w:tab w:val="left" w:pos="0"/>
        </w:tabs>
        <w:autoSpaceDE w:val="0"/>
        <w:autoSpaceDN w:val="0"/>
        <w:adjustRightInd w:val="0"/>
        <w:spacing w:line="276" w:lineRule="auto"/>
        <w:ind w:firstLine="567"/>
        <w:jc w:val="both"/>
        <w:rPr>
          <w:sz w:val="16"/>
          <w:szCs w:val="16"/>
        </w:rPr>
      </w:pPr>
    </w:p>
    <w:p w:rsidR="00D87232" w:rsidRPr="00435620" w:rsidRDefault="00D87232" w:rsidP="00017157">
      <w:pPr>
        <w:widowControl w:val="0"/>
        <w:shd w:val="clear" w:color="auto" w:fill="FFFFFF"/>
        <w:tabs>
          <w:tab w:val="left" w:pos="0"/>
        </w:tabs>
        <w:autoSpaceDE w:val="0"/>
        <w:autoSpaceDN w:val="0"/>
        <w:adjustRightInd w:val="0"/>
        <w:spacing w:line="276" w:lineRule="auto"/>
        <w:ind w:firstLine="567"/>
        <w:jc w:val="both"/>
        <w:rPr>
          <w:b/>
          <w:i/>
        </w:rPr>
      </w:pPr>
      <w:r w:rsidRPr="00435620">
        <w:rPr>
          <w:b/>
          <w:i/>
        </w:rPr>
        <w:t>Общи сведения за свлачищ</w:t>
      </w:r>
      <w:r w:rsidR="00435620" w:rsidRPr="00435620">
        <w:rPr>
          <w:b/>
          <w:i/>
        </w:rPr>
        <w:t>ния участък</w:t>
      </w:r>
    </w:p>
    <w:p w:rsidR="00FD2F9D" w:rsidRDefault="008E4800" w:rsidP="00017157">
      <w:pPr>
        <w:widowControl w:val="0"/>
        <w:shd w:val="clear" w:color="auto" w:fill="FFFFFF"/>
        <w:tabs>
          <w:tab w:val="left" w:pos="0"/>
        </w:tabs>
        <w:autoSpaceDE w:val="0"/>
        <w:autoSpaceDN w:val="0"/>
        <w:adjustRightInd w:val="0"/>
        <w:spacing w:line="276" w:lineRule="auto"/>
        <w:ind w:firstLine="567"/>
        <w:jc w:val="both"/>
      </w:pPr>
      <w:proofErr w:type="spellStart"/>
      <w:r>
        <w:t>Свлачището</w:t>
      </w:r>
      <w:proofErr w:type="spellEnd"/>
      <w:r>
        <w:t xml:space="preserve"> е възникнало през месец февруари 2004 г.</w:t>
      </w:r>
      <w:r w:rsidR="00FD2F9D">
        <w:t xml:space="preserve"> след обилно </w:t>
      </w:r>
      <w:proofErr w:type="spellStart"/>
      <w:r w:rsidR="00FD2F9D">
        <w:t>водонасищане</w:t>
      </w:r>
      <w:proofErr w:type="spellEnd"/>
      <w:r w:rsidR="00FD2F9D">
        <w:t xml:space="preserve"> на склона от </w:t>
      </w:r>
      <w:proofErr w:type="spellStart"/>
      <w:r w:rsidR="00FD2F9D">
        <w:t>атмодферните</w:t>
      </w:r>
      <w:proofErr w:type="spellEnd"/>
      <w:r w:rsidR="00FD2F9D">
        <w:t xml:space="preserve"> валежи и активно снеготопене. Засегнато е платното на път</w:t>
      </w:r>
      <w:r w:rsidR="00FD2F9D">
        <w:rPr>
          <w:lang w:val="en-US"/>
        </w:rPr>
        <w:t>PER 2099</w:t>
      </w:r>
      <w:r w:rsidR="00FD2F9D">
        <w:t>/</w:t>
      </w:r>
      <w:r w:rsidR="00FD2F9D">
        <w:rPr>
          <w:lang w:val="en-US"/>
        </w:rPr>
        <w:t>III</w:t>
      </w:r>
      <w:r w:rsidR="00FD2F9D">
        <w:t xml:space="preserve"> – 605, Батановци – п.к. Ярджиловци/ - Витановци – /</w:t>
      </w:r>
      <w:r w:rsidR="00FD2F9D">
        <w:rPr>
          <w:lang w:val="en-US"/>
        </w:rPr>
        <w:t>II</w:t>
      </w:r>
      <w:r w:rsidR="00FD2F9D">
        <w:t xml:space="preserve"> – 63/. В участъка е реализиран проект за укрепителни мероприятия, изпълнена е пилотна система с </w:t>
      </w:r>
      <w:proofErr w:type="spellStart"/>
      <w:r w:rsidR="00FD2F9D">
        <w:t>ростверг</w:t>
      </w:r>
      <w:proofErr w:type="spellEnd"/>
      <w:r w:rsidR="00FD2F9D">
        <w:t xml:space="preserve"> и подпорна стена, за които не е съхранена техническата документация.</w:t>
      </w:r>
    </w:p>
    <w:p w:rsidR="0085513C" w:rsidRDefault="00FD2F9D" w:rsidP="00017157">
      <w:pPr>
        <w:widowControl w:val="0"/>
        <w:shd w:val="clear" w:color="auto" w:fill="FFFFFF"/>
        <w:tabs>
          <w:tab w:val="left" w:pos="0"/>
        </w:tabs>
        <w:autoSpaceDE w:val="0"/>
        <w:autoSpaceDN w:val="0"/>
        <w:adjustRightInd w:val="0"/>
        <w:spacing w:line="276" w:lineRule="auto"/>
        <w:ind w:firstLine="567"/>
        <w:jc w:val="both"/>
      </w:pPr>
      <w:r>
        <w:t xml:space="preserve">През 2015 г. </w:t>
      </w:r>
      <w:proofErr w:type="spellStart"/>
      <w:r>
        <w:t>свлачищният</w:t>
      </w:r>
      <w:proofErr w:type="spellEnd"/>
      <w:r>
        <w:t xml:space="preserve"> процес се активира. Оформен е </w:t>
      </w:r>
      <w:proofErr w:type="spellStart"/>
      <w:r>
        <w:t>свлачищен</w:t>
      </w:r>
      <w:proofErr w:type="spellEnd"/>
      <w:r>
        <w:t xml:space="preserve"> участък с фронтална форма и размери 30/150 м, обхващащ площ около 4,5 дка</w:t>
      </w:r>
      <w:r w:rsidR="000B1268">
        <w:t>. Пътното платно в участък от 150 м е претърпяло деформации с характер на слягане и пропадане. Образувани са отворени пукнатини по асфалтовата настилка.</w:t>
      </w:r>
      <w:r w:rsidR="00B6132D">
        <w:t xml:space="preserve">Засегнати от свлачищния процес са земеделски имоти, банкета на пътя, част от асфалтовата настилка, в която са установени нови пукнатини след ремонт и </w:t>
      </w:r>
      <w:proofErr w:type="spellStart"/>
      <w:r w:rsidR="00B6132D">
        <w:t>преасфалтиране</w:t>
      </w:r>
      <w:proofErr w:type="spellEnd"/>
      <w:r w:rsidR="0085513C">
        <w:t xml:space="preserve"> на пътното платно. Стената на </w:t>
      </w:r>
      <w:proofErr w:type="spellStart"/>
      <w:r w:rsidR="0085513C">
        <w:t>ростверка</w:t>
      </w:r>
      <w:proofErr w:type="spellEnd"/>
      <w:r w:rsidR="0085513C">
        <w:t xml:space="preserve"> е видимо огъната и наклонена, пилотите са разкрити.</w:t>
      </w:r>
    </w:p>
    <w:p w:rsidR="00C32372" w:rsidRDefault="00C32372" w:rsidP="00017157">
      <w:pPr>
        <w:widowControl w:val="0"/>
        <w:shd w:val="clear" w:color="auto" w:fill="FFFFFF"/>
        <w:tabs>
          <w:tab w:val="left" w:pos="0"/>
        </w:tabs>
        <w:autoSpaceDE w:val="0"/>
        <w:autoSpaceDN w:val="0"/>
        <w:adjustRightInd w:val="0"/>
        <w:spacing w:line="276" w:lineRule="auto"/>
        <w:ind w:firstLine="567"/>
        <w:jc w:val="both"/>
      </w:pPr>
      <w:r>
        <w:t xml:space="preserve">За стабилизиране на свлачищния масив и защита на общинския път е необходимо изпълнение на </w:t>
      </w:r>
      <w:proofErr w:type="spellStart"/>
      <w:r>
        <w:t>противосвлачищни</w:t>
      </w:r>
      <w:proofErr w:type="spellEnd"/>
      <w:r>
        <w:t xml:space="preserve"> мероприятия на база проучвателни и проектни работи съобразени с действащата нормативна уредба в страната.</w:t>
      </w:r>
    </w:p>
    <w:p w:rsidR="00435620" w:rsidRDefault="00435620" w:rsidP="00017157">
      <w:pPr>
        <w:widowControl w:val="0"/>
        <w:shd w:val="clear" w:color="auto" w:fill="FFFFFF"/>
        <w:tabs>
          <w:tab w:val="left" w:pos="0"/>
        </w:tabs>
        <w:autoSpaceDE w:val="0"/>
        <w:autoSpaceDN w:val="0"/>
        <w:adjustRightInd w:val="0"/>
        <w:spacing w:line="276" w:lineRule="auto"/>
        <w:ind w:firstLine="567"/>
        <w:jc w:val="both"/>
      </w:pPr>
    </w:p>
    <w:p w:rsidR="00085221" w:rsidRPr="00435620" w:rsidRDefault="00085221" w:rsidP="00085221">
      <w:pPr>
        <w:shd w:val="clear" w:color="auto" w:fill="FFFFFF"/>
        <w:tabs>
          <w:tab w:val="left" w:pos="567"/>
          <w:tab w:val="left" w:pos="709"/>
        </w:tabs>
        <w:spacing w:line="276" w:lineRule="auto"/>
        <w:ind w:firstLine="567"/>
        <w:jc w:val="both"/>
        <w:rPr>
          <w:b/>
          <w:i/>
          <w:lang w:eastAsia="en-US"/>
        </w:rPr>
      </w:pPr>
      <w:r w:rsidRPr="00435620">
        <w:rPr>
          <w:b/>
          <w:i/>
          <w:lang w:eastAsia="en-US"/>
        </w:rPr>
        <w:lastRenderedPageBreak/>
        <w:t>Предметът на обществената поръчка включва (описание на дейностите по поръчката):</w:t>
      </w:r>
    </w:p>
    <w:p w:rsidR="00085221" w:rsidRPr="00017157" w:rsidRDefault="00085221" w:rsidP="00085221">
      <w:pPr>
        <w:shd w:val="clear" w:color="auto" w:fill="FFFFFF"/>
        <w:tabs>
          <w:tab w:val="left" w:pos="567"/>
          <w:tab w:val="left" w:pos="709"/>
        </w:tabs>
        <w:spacing w:line="276" w:lineRule="auto"/>
        <w:ind w:firstLine="567"/>
        <w:jc w:val="both"/>
        <w:rPr>
          <w:lang w:eastAsia="en-US"/>
        </w:rPr>
      </w:pPr>
      <w:r w:rsidRPr="00017157">
        <w:rPr>
          <w:lang w:eastAsia="en-US"/>
        </w:rPr>
        <w:t>Запознаване със Заданието за проектиране</w:t>
      </w:r>
      <w:r>
        <w:rPr>
          <w:lang w:eastAsia="en-US"/>
        </w:rPr>
        <w:t>,</w:t>
      </w:r>
      <w:r w:rsidRPr="00017157">
        <w:rPr>
          <w:lang w:eastAsia="en-US"/>
        </w:rPr>
        <w:t xml:space="preserve"> посещение на обекта на място и в случай, че възникне необходимост от извършване на допълнителни проектантски работи, неупоменати в Заданието, но свързани с изпълнението на предмета на поръчката, касаещи техническата инфраструктура или други, Изпълнителят няма да има никакви претенции към Възложителя.</w:t>
      </w:r>
    </w:p>
    <w:p w:rsidR="00085221" w:rsidRPr="000C6557" w:rsidRDefault="00085221" w:rsidP="00085221">
      <w:pPr>
        <w:shd w:val="clear" w:color="auto" w:fill="FFFFFF"/>
        <w:tabs>
          <w:tab w:val="left" w:pos="567"/>
          <w:tab w:val="left" w:pos="709"/>
        </w:tabs>
        <w:spacing w:line="276" w:lineRule="auto"/>
        <w:ind w:firstLine="567"/>
        <w:jc w:val="both"/>
        <w:rPr>
          <w:lang w:val="en-US" w:eastAsia="en-US"/>
        </w:rPr>
      </w:pPr>
      <w:r w:rsidRPr="00017157">
        <w:rPr>
          <w:lang w:eastAsia="en-US"/>
        </w:rPr>
        <w:t>Извършване на необходимите огледи и конструктивни обследвания на пътното съоръжение</w:t>
      </w:r>
      <w:r w:rsidR="00435620">
        <w:rPr>
          <w:lang w:eastAsia="en-US"/>
        </w:rPr>
        <w:t>.</w:t>
      </w:r>
      <w:r w:rsidRPr="00017157">
        <w:rPr>
          <w:lang w:eastAsia="en-US"/>
        </w:rPr>
        <w:t xml:space="preserve"> </w:t>
      </w:r>
      <w:r w:rsidR="00435620">
        <w:rPr>
          <w:lang w:eastAsia="en-US"/>
        </w:rPr>
        <w:t>И</w:t>
      </w:r>
      <w:r w:rsidRPr="00017157">
        <w:rPr>
          <w:lang w:eastAsia="en-US"/>
        </w:rPr>
        <w:t>зработване</w:t>
      </w:r>
      <w:r w:rsidR="00435620">
        <w:rPr>
          <w:lang w:eastAsia="en-US"/>
        </w:rPr>
        <w:t>то</w:t>
      </w:r>
      <w:r w:rsidRPr="00017157">
        <w:rPr>
          <w:lang w:eastAsia="en-US"/>
        </w:rPr>
        <w:t xml:space="preserve"> на Инвест</w:t>
      </w:r>
      <w:r w:rsidR="00435620">
        <w:rPr>
          <w:lang w:eastAsia="en-US"/>
        </w:rPr>
        <w:t>иционен (Технически) проект да стане</w:t>
      </w:r>
      <w:r w:rsidRPr="00017157">
        <w:rPr>
          <w:lang w:eastAsia="en-US"/>
        </w:rPr>
        <w:t xml:space="preserve"> съгласно изискванията на Възложителя и изискванията на действащите към момента нормативни документи, в обем и съдържание определени в За</w:t>
      </w:r>
      <w:r>
        <w:rPr>
          <w:lang w:eastAsia="en-US"/>
        </w:rPr>
        <w:t xml:space="preserve">данието за проектиране, което </w:t>
      </w:r>
      <w:r w:rsidRPr="00017157">
        <w:rPr>
          <w:lang w:eastAsia="en-US"/>
        </w:rPr>
        <w:t>е приложено към документацията за обществената поръчка</w:t>
      </w:r>
      <w:r>
        <w:rPr>
          <w:lang w:eastAsia="en-US"/>
        </w:rPr>
        <w:t>.</w:t>
      </w:r>
    </w:p>
    <w:p w:rsidR="00085221" w:rsidRPr="00017157" w:rsidRDefault="00085221" w:rsidP="00085221">
      <w:pPr>
        <w:shd w:val="clear" w:color="auto" w:fill="FFFFFF"/>
        <w:tabs>
          <w:tab w:val="left" w:pos="567"/>
          <w:tab w:val="left" w:pos="709"/>
        </w:tabs>
        <w:spacing w:line="276" w:lineRule="auto"/>
        <w:ind w:firstLine="567"/>
        <w:jc w:val="both"/>
        <w:rPr>
          <w:lang w:eastAsia="en-US"/>
        </w:rPr>
      </w:pPr>
      <w:r w:rsidRPr="00017157">
        <w:rPr>
          <w:lang w:eastAsia="en-US"/>
        </w:rPr>
        <w:t>Извършване на всички съгласувания на Техническия проект с експлоатационните дружества, Главна дирекция „Пожарна безопасност и защита на населението“ (ГД ПБЗН) и административните структури, чието разрешение, съдействие или становище е необходимо за изпълнението на пр</w:t>
      </w:r>
      <w:r w:rsidR="007D4E2D">
        <w:rPr>
          <w:lang w:eastAsia="en-US"/>
        </w:rPr>
        <w:t>едмета на обществената поръчка</w:t>
      </w:r>
      <w:r w:rsidRPr="00017157">
        <w:rPr>
          <w:lang w:eastAsia="en-US"/>
        </w:rPr>
        <w:t>.</w:t>
      </w:r>
    </w:p>
    <w:p w:rsidR="00085221" w:rsidRPr="00017157" w:rsidRDefault="00085221" w:rsidP="00085221">
      <w:pPr>
        <w:shd w:val="clear" w:color="auto" w:fill="FFFFFF"/>
        <w:tabs>
          <w:tab w:val="left" w:pos="567"/>
          <w:tab w:val="left" w:pos="709"/>
        </w:tabs>
        <w:spacing w:line="276" w:lineRule="auto"/>
        <w:ind w:firstLine="567"/>
        <w:jc w:val="both"/>
        <w:rPr>
          <w:lang w:eastAsia="en-US"/>
        </w:rPr>
      </w:pPr>
      <w:r w:rsidRPr="00017157">
        <w:rPr>
          <w:lang w:eastAsia="en-US"/>
        </w:rPr>
        <w:t>Изпълнение на задълженията си като проектант, по време на строителството и въвеждането в експлоатация на строежа, в съответствие с действащото българско законодателство (Наредба № 3 от 31.07.2003 г. на МРРБ към ЗУТ за съставяне на актове и протоколи по време на строителството и 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85221" w:rsidRPr="00017157" w:rsidRDefault="00085221" w:rsidP="00085221">
      <w:pPr>
        <w:shd w:val="clear" w:color="auto" w:fill="FFFFFF"/>
        <w:tabs>
          <w:tab w:val="left" w:pos="567"/>
          <w:tab w:val="left" w:pos="709"/>
        </w:tabs>
        <w:spacing w:line="276" w:lineRule="auto"/>
        <w:ind w:firstLine="567"/>
        <w:jc w:val="both"/>
        <w:rPr>
          <w:lang w:eastAsia="en-US"/>
        </w:rPr>
      </w:pPr>
      <w:r w:rsidRPr="00017157">
        <w:rPr>
          <w:lang w:eastAsia="en-US"/>
        </w:rPr>
        <w:t>Отстраняване за своя сметка на недостатъците на проекта, установени в хода на извършване на проверките от Възложителя и/или Консултанта, извършващ оценка на съответствието на проекта с основните изисквания към строежите и Технически контрол по част „Конструктивна” съгласно ЗУТ, включително и по време на извършване на строителството.</w:t>
      </w:r>
    </w:p>
    <w:p w:rsidR="00085221" w:rsidRPr="00017157" w:rsidRDefault="00085221" w:rsidP="00085221">
      <w:pPr>
        <w:shd w:val="clear" w:color="auto" w:fill="FFFFFF"/>
        <w:tabs>
          <w:tab w:val="left" w:pos="567"/>
          <w:tab w:val="left" w:pos="709"/>
        </w:tabs>
        <w:spacing w:line="276" w:lineRule="auto"/>
        <w:ind w:firstLine="567"/>
        <w:jc w:val="both"/>
        <w:rPr>
          <w:lang w:eastAsia="en-US"/>
        </w:rPr>
      </w:pPr>
      <w:r w:rsidRPr="00017157">
        <w:rPr>
          <w:lang w:eastAsia="en-US"/>
        </w:rPr>
        <w:t>Поемане на отговорност за качеството на проекта по време на извършване на строителството, която Изпълнителят ще обезпечи като при сключване на договора за проектиране предостави на Възложителя Гаранция за обезпечаване изпълнението на договора.</w:t>
      </w:r>
    </w:p>
    <w:p w:rsidR="00085221" w:rsidRPr="00017157" w:rsidRDefault="00085221" w:rsidP="00085221">
      <w:pPr>
        <w:shd w:val="clear" w:color="auto" w:fill="FFFFFF"/>
        <w:tabs>
          <w:tab w:val="left" w:pos="567"/>
          <w:tab w:val="left" w:pos="709"/>
        </w:tabs>
        <w:spacing w:line="276" w:lineRule="auto"/>
        <w:ind w:firstLine="567"/>
        <w:jc w:val="both"/>
        <w:rPr>
          <w:lang w:eastAsia="en-US"/>
        </w:rPr>
      </w:pPr>
      <w:r w:rsidRPr="00017157">
        <w:rPr>
          <w:lang w:eastAsia="en-US"/>
        </w:rPr>
        <w:t>Осигуряване на екип за изпълнение на обществената поръчка, със следните функции:</w:t>
      </w:r>
    </w:p>
    <w:p w:rsidR="00085221" w:rsidRPr="00606710" w:rsidRDefault="00085221" w:rsidP="00085221">
      <w:pPr>
        <w:shd w:val="clear" w:color="auto" w:fill="FFFFFF"/>
        <w:tabs>
          <w:tab w:val="left" w:pos="567"/>
          <w:tab w:val="left" w:pos="709"/>
        </w:tabs>
        <w:spacing w:line="276" w:lineRule="auto"/>
        <w:ind w:firstLine="567"/>
        <w:jc w:val="both"/>
        <w:rPr>
          <w:lang w:val="en-US" w:eastAsia="en-US"/>
        </w:rPr>
      </w:pPr>
      <w:r w:rsidRPr="00017157">
        <w:rPr>
          <w:b/>
          <w:lang w:eastAsia="en-US"/>
        </w:rPr>
        <w:t>1)Ръководител на екипа:</w:t>
      </w:r>
      <w:r w:rsidRPr="00017157">
        <w:rPr>
          <w:lang w:eastAsia="en-US"/>
        </w:rPr>
        <w:t xml:space="preserve"> ще докладва проектната разработка пред Въз</w:t>
      </w:r>
      <w:r w:rsidR="007D4E2D">
        <w:rPr>
          <w:lang w:eastAsia="en-US"/>
        </w:rPr>
        <w:t>ложителя</w:t>
      </w:r>
      <w:r w:rsidRPr="00017157">
        <w:rPr>
          <w:lang w:eastAsia="en-US"/>
        </w:rPr>
        <w:t xml:space="preserve"> и пред други административни структури, когато и ако е необходимо; ще носи цялата отговорност за качественото и точното изпълнение на проектно - проучвателните работи (ППР) по всички части на проекта и тяхната взаимна обвързаност; ще изготвя обяснителната записка за проекта; ще проверява обобщената количествена сметка, с което ще удостоверява нейната прецизност, пълнота и достоверност и ще подписва проектните материали по всички части на проекта.</w:t>
      </w:r>
    </w:p>
    <w:p w:rsidR="000A6342" w:rsidRDefault="000A6342" w:rsidP="000A6342">
      <w:pPr>
        <w:pStyle w:val="a3"/>
        <w:numPr>
          <w:ilvl w:val="0"/>
          <w:numId w:val="7"/>
        </w:numPr>
        <w:shd w:val="clear" w:color="auto" w:fill="FFFFFF"/>
        <w:tabs>
          <w:tab w:val="left" w:pos="567"/>
          <w:tab w:val="left" w:pos="709"/>
          <w:tab w:val="left" w:pos="851"/>
        </w:tabs>
        <w:spacing w:line="276" w:lineRule="auto"/>
        <w:ind w:left="0" w:firstLine="570"/>
        <w:jc w:val="both"/>
        <w:rPr>
          <w:lang w:eastAsia="en-US"/>
        </w:rPr>
      </w:pPr>
      <w:r w:rsidRPr="00606710">
        <w:rPr>
          <w:b/>
          <w:lang w:eastAsia="en-US"/>
        </w:rPr>
        <w:t>Проектант по част „Геодезия</w:t>
      </w:r>
      <w:r w:rsidRPr="00606710">
        <w:rPr>
          <w:b/>
          <w:lang w:val="en-US" w:eastAsia="en-US"/>
        </w:rPr>
        <w:t xml:space="preserve"> </w:t>
      </w:r>
      <w:r w:rsidRPr="00606710">
        <w:rPr>
          <w:b/>
          <w:lang w:eastAsia="en-US"/>
        </w:rPr>
        <w:t xml:space="preserve">- </w:t>
      </w:r>
      <w:proofErr w:type="spellStart"/>
      <w:r w:rsidRPr="00606710">
        <w:rPr>
          <w:b/>
          <w:lang w:eastAsia="en-US"/>
        </w:rPr>
        <w:t>геодезическа</w:t>
      </w:r>
      <w:proofErr w:type="spellEnd"/>
      <w:r w:rsidRPr="00606710">
        <w:rPr>
          <w:b/>
          <w:lang w:eastAsia="en-US"/>
        </w:rPr>
        <w:t xml:space="preserve"> снимка“:</w:t>
      </w:r>
      <w:r w:rsidRPr="00017157">
        <w:rPr>
          <w:lang w:eastAsia="en-US"/>
        </w:rPr>
        <w:t xml:space="preserve"> ще носи отговорност за вярното, пълното и точното изпълнение на ППР по част „Геодезия”, като ги проверява и подписва, с което ще удостоверява прецизност, пълнота и достоверност</w:t>
      </w:r>
      <w:r w:rsidR="00281088">
        <w:rPr>
          <w:lang w:eastAsia="en-US"/>
        </w:rPr>
        <w:t xml:space="preserve"> на извършената дейност</w:t>
      </w:r>
      <w:r w:rsidRPr="00017157">
        <w:rPr>
          <w:lang w:eastAsia="en-US"/>
        </w:rPr>
        <w:t>.</w:t>
      </w:r>
    </w:p>
    <w:p w:rsidR="00B2233D" w:rsidRPr="00606710" w:rsidRDefault="00894411" w:rsidP="00B2233D">
      <w:pPr>
        <w:pStyle w:val="2"/>
        <w:numPr>
          <w:ilvl w:val="0"/>
          <w:numId w:val="7"/>
        </w:numPr>
        <w:tabs>
          <w:tab w:val="left" w:pos="709"/>
          <w:tab w:val="left" w:pos="851"/>
        </w:tabs>
        <w:spacing w:line="276" w:lineRule="auto"/>
        <w:ind w:left="0" w:firstLine="570"/>
        <w:jc w:val="both"/>
        <w:rPr>
          <w:rFonts w:ascii="Times New Roman" w:hAnsi="Times New Roman"/>
          <w:sz w:val="24"/>
          <w:szCs w:val="24"/>
        </w:rPr>
      </w:pPr>
      <w:r w:rsidRPr="00606710">
        <w:rPr>
          <w:b/>
          <w:sz w:val="24"/>
          <w:szCs w:val="24"/>
          <w:lang w:eastAsia="en-US"/>
        </w:rPr>
        <w:lastRenderedPageBreak/>
        <w:t>Проектант по част „Инженерно-геоложки проучвания”:</w:t>
      </w:r>
      <w:r w:rsidRPr="00606710">
        <w:rPr>
          <w:sz w:val="24"/>
          <w:szCs w:val="24"/>
          <w:lang w:eastAsia="en-US"/>
        </w:rPr>
        <w:t xml:space="preserve"> ръководи инженерно-геоложките проучвания в утвърдения обхват на проучване, определен от „Геозащита” ЕООД – клон Перник и съгласуван от община Перник.</w:t>
      </w:r>
      <w:r w:rsidR="002E3045" w:rsidRPr="00606710">
        <w:rPr>
          <w:sz w:val="24"/>
          <w:szCs w:val="24"/>
          <w:lang w:eastAsia="en-US"/>
        </w:rPr>
        <w:t xml:space="preserve"> Представя крайния продукт от проучването пред специализиран експертен съвет на общината, съгласно изискванията на указателни писма</w:t>
      </w:r>
      <w:r w:rsidR="002E3045" w:rsidRPr="00606710">
        <w:rPr>
          <w:lang w:eastAsia="en-US"/>
        </w:rPr>
        <w:t xml:space="preserve"> </w:t>
      </w:r>
      <w:r w:rsidR="00B2233D" w:rsidRPr="00606710">
        <w:rPr>
          <w:rFonts w:ascii="Times New Roman" w:hAnsi="Times New Roman"/>
          <w:sz w:val="24"/>
          <w:szCs w:val="24"/>
        </w:rPr>
        <w:t>с изх. № 03-01-7/21.01.2015 г. и № 03-01-7/24.02.2016 г.</w:t>
      </w:r>
      <w:r w:rsidR="00B2233D" w:rsidRPr="00606710">
        <w:rPr>
          <w:rFonts w:ascii="Times New Roman" w:hAnsi="Times New Roman"/>
          <w:szCs w:val="24"/>
        </w:rPr>
        <w:t xml:space="preserve"> </w:t>
      </w:r>
      <w:r w:rsidR="00B2233D" w:rsidRPr="00606710">
        <w:rPr>
          <w:rFonts w:ascii="Times New Roman" w:hAnsi="Times New Roman"/>
          <w:sz w:val="24"/>
          <w:szCs w:val="24"/>
        </w:rPr>
        <w:t>на Министъра на регионалното развитие и благоустройството.</w:t>
      </w:r>
    </w:p>
    <w:p w:rsidR="00281088" w:rsidRDefault="00E13C4C" w:rsidP="00281088">
      <w:pPr>
        <w:pStyle w:val="a3"/>
        <w:numPr>
          <w:ilvl w:val="0"/>
          <w:numId w:val="7"/>
        </w:numPr>
        <w:shd w:val="clear" w:color="auto" w:fill="FFFFFF"/>
        <w:tabs>
          <w:tab w:val="left" w:pos="567"/>
          <w:tab w:val="left" w:pos="709"/>
          <w:tab w:val="left" w:pos="851"/>
        </w:tabs>
        <w:spacing w:line="276" w:lineRule="auto"/>
        <w:ind w:left="0" w:firstLine="570"/>
        <w:jc w:val="both"/>
        <w:rPr>
          <w:lang w:eastAsia="en-US"/>
        </w:rPr>
      </w:pPr>
      <w:r>
        <w:rPr>
          <w:b/>
          <w:lang w:eastAsia="en-US"/>
        </w:rPr>
        <w:t>П</w:t>
      </w:r>
      <w:r w:rsidR="00085221" w:rsidRPr="00017157">
        <w:rPr>
          <w:b/>
          <w:lang w:eastAsia="en-US"/>
        </w:rPr>
        <w:t>роектант по част „</w:t>
      </w:r>
      <w:r w:rsidR="00085221" w:rsidRPr="00606710">
        <w:rPr>
          <w:b/>
          <w:lang w:eastAsia="en-US"/>
        </w:rPr>
        <w:t>Конструктивна</w:t>
      </w:r>
      <w:r w:rsidR="003A24C6" w:rsidRPr="00606710">
        <w:rPr>
          <w:b/>
          <w:lang w:val="en-US" w:eastAsia="en-US"/>
        </w:rPr>
        <w:t xml:space="preserve"> </w:t>
      </w:r>
      <w:r w:rsidR="003A24C6" w:rsidRPr="00606710">
        <w:rPr>
          <w:b/>
          <w:lang w:eastAsia="en-US"/>
        </w:rPr>
        <w:t>- укрепителни съоръжения</w:t>
      </w:r>
      <w:r w:rsidR="00085221" w:rsidRPr="00017157">
        <w:rPr>
          <w:b/>
          <w:lang w:eastAsia="en-US"/>
        </w:rPr>
        <w:t xml:space="preserve">“: </w:t>
      </w:r>
      <w:r w:rsidR="00085221" w:rsidRPr="00017157">
        <w:rPr>
          <w:lang w:eastAsia="en-US"/>
        </w:rPr>
        <w:t>ще носи отговорност за вярното, пълното и точното изпълнение на ППР по част „Конструктивна”, като ги проверява и подписва, включително количествените сметки, с което ще удостоверява прецизност, пълнота и достоверност</w:t>
      </w:r>
      <w:r w:rsidR="00281088">
        <w:rPr>
          <w:lang w:eastAsia="en-US"/>
        </w:rPr>
        <w:t xml:space="preserve"> на проекта</w:t>
      </w:r>
      <w:r w:rsidR="00281088" w:rsidRPr="00017157">
        <w:rPr>
          <w:lang w:eastAsia="en-US"/>
        </w:rPr>
        <w:t>.</w:t>
      </w:r>
    </w:p>
    <w:p w:rsidR="00606710" w:rsidRDefault="000A6342" w:rsidP="00606710">
      <w:pPr>
        <w:shd w:val="clear" w:color="auto" w:fill="FFFFFF"/>
        <w:tabs>
          <w:tab w:val="left" w:pos="0"/>
          <w:tab w:val="left" w:pos="709"/>
        </w:tabs>
        <w:spacing w:line="276" w:lineRule="auto"/>
        <w:ind w:firstLine="567"/>
        <w:jc w:val="both"/>
        <w:rPr>
          <w:lang w:eastAsia="en-US"/>
        </w:rPr>
      </w:pPr>
      <w:r w:rsidRPr="00606710">
        <w:rPr>
          <w:lang w:eastAsia="en-US"/>
        </w:rPr>
        <w:t>5</w:t>
      </w:r>
      <w:r w:rsidR="00085221" w:rsidRPr="00606710">
        <w:rPr>
          <w:lang w:eastAsia="en-US"/>
        </w:rPr>
        <w:t>)</w:t>
      </w:r>
      <w:r>
        <w:rPr>
          <w:b/>
          <w:lang w:eastAsia="en-US"/>
        </w:rPr>
        <w:t xml:space="preserve"> </w:t>
      </w:r>
      <w:r w:rsidR="00E13C4C" w:rsidRPr="00A80EB9">
        <w:rPr>
          <w:b/>
          <w:lang w:eastAsia="en-US"/>
        </w:rPr>
        <w:t>П</w:t>
      </w:r>
      <w:r w:rsidR="00085221" w:rsidRPr="00A80EB9">
        <w:rPr>
          <w:b/>
          <w:lang w:eastAsia="en-US"/>
        </w:rPr>
        <w:t xml:space="preserve">роектант по част „Пътна“: </w:t>
      </w:r>
      <w:r w:rsidR="00085221" w:rsidRPr="00A80EB9">
        <w:rPr>
          <w:lang w:eastAsia="en-US"/>
        </w:rPr>
        <w:t>ще нос</w:t>
      </w:r>
      <w:r w:rsidR="00A80EB9">
        <w:rPr>
          <w:lang w:eastAsia="en-US"/>
        </w:rPr>
        <w:t>и</w:t>
      </w:r>
      <w:r w:rsidR="00085221" w:rsidRPr="00A80EB9">
        <w:rPr>
          <w:lang w:eastAsia="en-US"/>
        </w:rPr>
        <w:t xml:space="preserve"> отговорност за вярното, пълното и точното изпълнение на ППР по част „Пътна</w:t>
      </w:r>
      <w:r w:rsidR="00C05FDC" w:rsidRPr="00A80EB9">
        <w:rPr>
          <w:lang w:eastAsia="en-US"/>
        </w:rPr>
        <w:t>”</w:t>
      </w:r>
      <w:r w:rsidR="00085221" w:rsidRPr="00A80EB9">
        <w:rPr>
          <w:lang w:eastAsia="en-US"/>
        </w:rPr>
        <w:t xml:space="preserve">, като ги проверява и подписва, включително количествените сметки, с което ще </w:t>
      </w:r>
      <w:r w:rsidR="00835A53" w:rsidRPr="00A80EB9">
        <w:rPr>
          <w:lang w:eastAsia="en-US"/>
        </w:rPr>
        <w:t xml:space="preserve">се </w:t>
      </w:r>
      <w:r w:rsidR="00085221" w:rsidRPr="00A80EB9">
        <w:rPr>
          <w:lang w:eastAsia="en-US"/>
        </w:rPr>
        <w:t>удостоверява прецизност, пълнота и достоверност</w:t>
      </w:r>
      <w:r w:rsidR="00281088">
        <w:rPr>
          <w:lang w:eastAsia="en-US"/>
        </w:rPr>
        <w:t xml:space="preserve"> на проекта</w:t>
      </w:r>
      <w:r w:rsidR="00085221" w:rsidRPr="00A80EB9">
        <w:rPr>
          <w:lang w:eastAsia="en-US"/>
        </w:rPr>
        <w:t>.</w:t>
      </w:r>
    </w:p>
    <w:p w:rsidR="00606710" w:rsidRPr="00E13C4C" w:rsidRDefault="00606710" w:rsidP="00606710">
      <w:pPr>
        <w:shd w:val="clear" w:color="auto" w:fill="FFFFFF"/>
        <w:tabs>
          <w:tab w:val="left" w:pos="567"/>
        </w:tabs>
        <w:autoSpaceDE w:val="0"/>
        <w:autoSpaceDN w:val="0"/>
        <w:spacing w:line="276" w:lineRule="auto"/>
        <w:contextualSpacing/>
        <w:jc w:val="both"/>
        <w:rPr>
          <w:rFonts w:eastAsia="SimSun"/>
          <w:b/>
          <w:lang w:eastAsia="en-US"/>
        </w:rPr>
      </w:pPr>
      <w:r>
        <w:rPr>
          <w:rFonts w:eastAsia="SimSun"/>
          <w:b/>
          <w:lang w:eastAsia="en-US"/>
        </w:rPr>
        <w:tab/>
      </w:r>
      <w:r w:rsidRPr="00606710">
        <w:rPr>
          <w:rFonts w:eastAsia="SimSun"/>
          <w:lang w:eastAsia="en-US"/>
        </w:rPr>
        <w:t>6)</w:t>
      </w:r>
      <w:r w:rsidRPr="00E13C4C">
        <w:rPr>
          <w:rFonts w:eastAsia="SimSun"/>
          <w:b/>
          <w:lang w:eastAsia="en-US"/>
        </w:rPr>
        <w:t xml:space="preserve"> Проектант по част „Водоснабдяване и канализация“:</w:t>
      </w:r>
      <w:r>
        <w:rPr>
          <w:rFonts w:eastAsia="SimSun"/>
          <w:b/>
          <w:lang w:eastAsia="en-US"/>
        </w:rPr>
        <w:t xml:space="preserve"> </w:t>
      </w:r>
      <w:r w:rsidRPr="00017157">
        <w:rPr>
          <w:lang w:eastAsia="en-US"/>
        </w:rPr>
        <w:t>ще носи отговорност за вярното, пълното и точното изп</w:t>
      </w:r>
      <w:r>
        <w:rPr>
          <w:lang w:eastAsia="en-US"/>
        </w:rPr>
        <w:t>ълнение на ППР по част „</w:t>
      </w:r>
      <w:proofErr w:type="spellStart"/>
      <w:r>
        <w:rPr>
          <w:lang w:eastAsia="en-US"/>
        </w:rPr>
        <w:t>ВиК</w:t>
      </w:r>
      <w:proofErr w:type="spellEnd"/>
      <w:r w:rsidRPr="00017157">
        <w:rPr>
          <w:lang w:eastAsia="en-US"/>
        </w:rPr>
        <w:t>”, като ги проверява и подписва, с което ще удостоверява тяхната прецизност, пълнота и достоверност.</w:t>
      </w:r>
    </w:p>
    <w:p w:rsidR="00606710" w:rsidRPr="00606710" w:rsidRDefault="00606710" w:rsidP="00606710">
      <w:pPr>
        <w:shd w:val="clear" w:color="auto" w:fill="FFFFFF"/>
        <w:tabs>
          <w:tab w:val="left" w:pos="567"/>
        </w:tabs>
        <w:autoSpaceDE w:val="0"/>
        <w:autoSpaceDN w:val="0"/>
        <w:spacing w:line="276" w:lineRule="auto"/>
        <w:contextualSpacing/>
        <w:jc w:val="both"/>
        <w:rPr>
          <w:rFonts w:eastAsia="SimSun"/>
          <w:b/>
          <w:lang w:eastAsia="en-US"/>
        </w:rPr>
      </w:pPr>
      <w:r w:rsidRPr="00606710">
        <w:rPr>
          <w:rFonts w:eastAsia="SimSun"/>
          <w:lang w:eastAsia="en-US"/>
        </w:rPr>
        <w:tab/>
        <w:t>7)</w:t>
      </w:r>
      <w:r w:rsidRPr="00E13C4C">
        <w:rPr>
          <w:rFonts w:eastAsia="SimSun"/>
          <w:b/>
          <w:lang w:eastAsia="en-US"/>
        </w:rPr>
        <w:t xml:space="preserve"> Проектант по част „Електро“:</w:t>
      </w:r>
      <w:r w:rsidRPr="002A0EC2">
        <w:rPr>
          <w:lang w:eastAsia="en-US"/>
        </w:rPr>
        <w:t xml:space="preserve"> </w:t>
      </w:r>
      <w:r w:rsidRPr="00017157">
        <w:rPr>
          <w:lang w:eastAsia="en-US"/>
        </w:rPr>
        <w:t>ще носи отговорност за вярното, пълното и точното изп</w:t>
      </w:r>
      <w:r>
        <w:rPr>
          <w:lang w:eastAsia="en-US"/>
        </w:rPr>
        <w:t>ълнение на ППР по част „Електро</w:t>
      </w:r>
      <w:r w:rsidRPr="00017157">
        <w:rPr>
          <w:lang w:eastAsia="en-US"/>
        </w:rPr>
        <w:t>”, като ги проверява и подписва, с което ще удостоверява тяхната прецизност, пълнота и достоверност.</w:t>
      </w:r>
    </w:p>
    <w:p w:rsidR="00A80EB9" w:rsidRPr="00606710" w:rsidRDefault="00606710" w:rsidP="00A80EB9">
      <w:pPr>
        <w:shd w:val="clear" w:color="auto" w:fill="FFFFFF"/>
        <w:tabs>
          <w:tab w:val="left" w:pos="0"/>
          <w:tab w:val="left" w:pos="709"/>
        </w:tabs>
        <w:spacing w:line="276" w:lineRule="auto"/>
        <w:ind w:firstLine="567"/>
        <w:jc w:val="both"/>
        <w:rPr>
          <w:lang w:eastAsia="en-US"/>
        </w:rPr>
      </w:pPr>
      <w:r w:rsidRPr="00606710">
        <w:rPr>
          <w:lang w:eastAsia="en-US"/>
        </w:rPr>
        <w:t>8</w:t>
      </w:r>
      <w:r w:rsidR="00A80EB9" w:rsidRPr="00606710">
        <w:rPr>
          <w:lang w:eastAsia="en-US"/>
        </w:rPr>
        <w:t>)</w:t>
      </w:r>
      <w:r w:rsidR="000A6342" w:rsidRPr="00606710">
        <w:rPr>
          <w:b/>
          <w:lang w:eastAsia="en-US"/>
        </w:rPr>
        <w:t xml:space="preserve"> </w:t>
      </w:r>
      <w:r w:rsidR="00A80EB9" w:rsidRPr="00606710">
        <w:rPr>
          <w:b/>
          <w:lang w:eastAsia="en-US"/>
        </w:rPr>
        <w:t xml:space="preserve">Проектант част „Временна организация и безопасност на движение”: </w:t>
      </w:r>
      <w:r w:rsidR="00A80EB9" w:rsidRPr="00606710">
        <w:rPr>
          <w:lang w:eastAsia="en-US"/>
        </w:rPr>
        <w:t>ще носи отговорност за вярното, пълното и точното изпълнение на ППР по част „Временна организация на движението”, като ги проверява и подписва, с което ще се удостоверява прецизност, пълнота и достоверност</w:t>
      </w:r>
      <w:r w:rsidR="00281088" w:rsidRPr="00606710">
        <w:rPr>
          <w:lang w:eastAsia="en-US"/>
        </w:rPr>
        <w:t xml:space="preserve"> на проекта</w:t>
      </w:r>
      <w:r w:rsidR="00A80EB9" w:rsidRPr="00606710">
        <w:rPr>
          <w:lang w:eastAsia="en-US"/>
        </w:rPr>
        <w:t>.</w:t>
      </w:r>
    </w:p>
    <w:p w:rsidR="00353DD2" w:rsidRPr="00606710" w:rsidRDefault="00A80EB9" w:rsidP="00353DD2">
      <w:pPr>
        <w:shd w:val="clear" w:color="auto" w:fill="FFFFFF"/>
        <w:tabs>
          <w:tab w:val="left" w:pos="567"/>
          <w:tab w:val="left" w:pos="709"/>
          <w:tab w:val="left" w:pos="851"/>
        </w:tabs>
        <w:spacing w:line="276" w:lineRule="auto"/>
        <w:jc w:val="both"/>
        <w:rPr>
          <w:lang w:eastAsia="en-US"/>
        </w:rPr>
      </w:pPr>
      <w:r w:rsidRPr="00606710">
        <w:rPr>
          <w:lang w:val="en-US" w:eastAsia="en-US"/>
        </w:rPr>
        <w:tab/>
      </w:r>
      <w:r w:rsidR="00606710">
        <w:rPr>
          <w:lang w:eastAsia="en-US"/>
        </w:rPr>
        <w:t>9</w:t>
      </w:r>
      <w:r w:rsidRPr="00606710">
        <w:rPr>
          <w:lang w:eastAsia="en-US"/>
        </w:rPr>
        <w:t xml:space="preserve">) </w:t>
      </w:r>
      <w:r w:rsidRPr="00606710">
        <w:rPr>
          <w:b/>
          <w:lang w:eastAsia="en-US"/>
        </w:rPr>
        <w:t>Част „</w:t>
      </w:r>
      <w:proofErr w:type="spellStart"/>
      <w:r w:rsidRPr="00606710">
        <w:rPr>
          <w:b/>
          <w:lang w:eastAsia="en-US"/>
        </w:rPr>
        <w:t>ПУП-парцеларен</w:t>
      </w:r>
      <w:proofErr w:type="spellEnd"/>
      <w:r w:rsidRPr="00606710">
        <w:rPr>
          <w:b/>
          <w:lang w:eastAsia="en-US"/>
        </w:rPr>
        <w:t xml:space="preserve"> план“</w:t>
      </w:r>
      <w:r w:rsidRPr="00606710">
        <w:rPr>
          <w:b/>
          <w:lang w:val="en-US" w:eastAsia="en-US"/>
        </w:rPr>
        <w:t>:</w:t>
      </w:r>
      <w:r w:rsidR="00353DD2" w:rsidRPr="00606710">
        <w:rPr>
          <w:b/>
          <w:lang w:val="en-US" w:eastAsia="en-US"/>
        </w:rPr>
        <w:t xml:space="preserve"> </w:t>
      </w:r>
      <w:r w:rsidR="00353DD2" w:rsidRPr="00606710">
        <w:rPr>
          <w:lang w:eastAsia="en-US"/>
        </w:rPr>
        <w:t xml:space="preserve">ще носи отговорност за вярното, пълното и точното изпълнение на </w:t>
      </w:r>
      <w:r w:rsidR="0041225D" w:rsidRPr="00606710">
        <w:rPr>
          <w:lang w:val="en-US" w:eastAsia="en-US"/>
        </w:rPr>
        <w:t>“</w:t>
      </w:r>
      <w:r w:rsidR="0041225D" w:rsidRPr="00606710">
        <w:rPr>
          <w:lang w:eastAsia="en-US"/>
        </w:rPr>
        <w:t>ПУП</w:t>
      </w:r>
      <w:r w:rsidR="00353DD2" w:rsidRPr="00606710">
        <w:rPr>
          <w:b/>
          <w:lang w:eastAsia="en-US"/>
        </w:rPr>
        <w:t>-</w:t>
      </w:r>
      <w:r w:rsidR="00353DD2" w:rsidRPr="00606710">
        <w:rPr>
          <w:lang w:eastAsia="en-US"/>
        </w:rPr>
        <w:t xml:space="preserve">парцеларен план”, като ги проверява и подписва, с което ще удостоверява </w:t>
      </w:r>
      <w:r w:rsidR="0041225D" w:rsidRPr="00606710">
        <w:rPr>
          <w:lang w:eastAsia="en-US"/>
        </w:rPr>
        <w:t>неговата</w:t>
      </w:r>
      <w:r w:rsidR="00353DD2" w:rsidRPr="00606710">
        <w:rPr>
          <w:lang w:eastAsia="en-US"/>
        </w:rPr>
        <w:t xml:space="preserve"> прецизност, пълнота и достоверност.</w:t>
      </w:r>
    </w:p>
    <w:p w:rsidR="000A6342" w:rsidRPr="00606710" w:rsidRDefault="00606710" w:rsidP="00606710">
      <w:pPr>
        <w:shd w:val="clear" w:color="auto" w:fill="FFFFFF"/>
        <w:tabs>
          <w:tab w:val="left" w:pos="567"/>
          <w:tab w:val="left" w:pos="709"/>
          <w:tab w:val="left" w:pos="993"/>
        </w:tabs>
        <w:spacing w:line="276" w:lineRule="auto"/>
        <w:jc w:val="both"/>
        <w:rPr>
          <w:bCs/>
          <w:lang w:eastAsia="en-US"/>
        </w:rPr>
      </w:pPr>
      <w:r>
        <w:rPr>
          <w:lang w:eastAsia="en-US"/>
        </w:rPr>
        <w:tab/>
        <w:t>10</w:t>
      </w:r>
      <w:r w:rsidRPr="00606710">
        <w:rPr>
          <w:lang w:eastAsia="en-US"/>
        </w:rPr>
        <w:t xml:space="preserve">) </w:t>
      </w:r>
      <w:r w:rsidR="000A6342" w:rsidRPr="00606710">
        <w:rPr>
          <w:b/>
          <w:bCs/>
          <w:lang w:eastAsia="en-US"/>
        </w:rPr>
        <w:t>Част „Проектно - сметна документация“</w:t>
      </w:r>
      <w:r w:rsidR="000A6342" w:rsidRPr="00606710">
        <w:rPr>
          <w:bCs/>
          <w:lang w:eastAsia="en-US"/>
        </w:rPr>
        <w:t xml:space="preserve"> включва </w:t>
      </w:r>
      <w:r w:rsidRPr="00606710">
        <w:rPr>
          <w:bCs/>
          <w:lang w:eastAsia="en-US"/>
        </w:rPr>
        <w:t xml:space="preserve">подробна количествена сметка и </w:t>
      </w:r>
      <w:r w:rsidR="00281088" w:rsidRPr="00606710">
        <w:rPr>
          <w:bCs/>
          <w:lang w:eastAsia="en-US"/>
        </w:rPr>
        <w:t xml:space="preserve">обща </w:t>
      </w:r>
      <w:r w:rsidR="000A6342" w:rsidRPr="00606710">
        <w:rPr>
          <w:bCs/>
          <w:lang w:eastAsia="en-US"/>
        </w:rPr>
        <w:t>количествено – стойностн</w:t>
      </w:r>
      <w:r w:rsidR="00281088" w:rsidRPr="00606710">
        <w:rPr>
          <w:bCs/>
          <w:lang w:eastAsia="en-US"/>
        </w:rPr>
        <w:t>а</w:t>
      </w:r>
      <w:r w:rsidR="000A6342" w:rsidRPr="00606710">
        <w:rPr>
          <w:bCs/>
          <w:lang w:eastAsia="en-US"/>
        </w:rPr>
        <w:t xml:space="preserve"> сметк</w:t>
      </w:r>
      <w:r w:rsidR="00281088" w:rsidRPr="00606710">
        <w:rPr>
          <w:bCs/>
          <w:lang w:eastAsia="en-US"/>
        </w:rPr>
        <w:t>а</w:t>
      </w:r>
      <w:r w:rsidR="000A6342" w:rsidRPr="00606710">
        <w:rPr>
          <w:bCs/>
          <w:lang w:eastAsia="en-US"/>
        </w:rPr>
        <w:t xml:space="preserve"> по всички части от проекта</w:t>
      </w:r>
      <w:r w:rsidR="0041225D" w:rsidRPr="00606710">
        <w:rPr>
          <w:bCs/>
          <w:lang w:eastAsia="en-US"/>
        </w:rPr>
        <w:t>.</w:t>
      </w:r>
    </w:p>
    <w:p w:rsidR="002A0EC2" w:rsidRDefault="002A0EC2" w:rsidP="002A0EC2">
      <w:pPr>
        <w:shd w:val="clear" w:color="auto" w:fill="FFFFFF"/>
        <w:tabs>
          <w:tab w:val="left" w:pos="567"/>
          <w:tab w:val="left" w:pos="709"/>
        </w:tabs>
        <w:spacing w:line="276" w:lineRule="auto"/>
        <w:ind w:firstLine="567"/>
        <w:jc w:val="both"/>
        <w:rPr>
          <w:b/>
          <w:lang w:eastAsia="en-US"/>
        </w:rPr>
      </w:pPr>
    </w:p>
    <w:p w:rsidR="00281088" w:rsidRDefault="00281088" w:rsidP="002A0EC2">
      <w:pPr>
        <w:shd w:val="clear" w:color="auto" w:fill="FFFFFF"/>
        <w:tabs>
          <w:tab w:val="left" w:pos="567"/>
          <w:tab w:val="left" w:pos="709"/>
        </w:tabs>
        <w:spacing w:line="276" w:lineRule="auto"/>
        <w:ind w:firstLine="567"/>
        <w:jc w:val="both"/>
        <w:rPr>
          <w:b/>
          <w:lang w:eastAsia="en-US"/>
        </w:rPr>
      </w:pPr>
    </w:p>
    <w:p w:rsidR="00085221" w:rsidRPr="00E13C4C" w:rsidRDefault="00085221" w:rsidP="00085221">
      <w:pPr>
        <w:shd w:val="clear" w:color="auto" w:fill="FFFFFF"/>
        <w:tabs>
          <w:tab w:val="left" w:pos="851"/>
        </w:tabs>
        <w:autoSpaceDE w:val="0"/>
        <w:autoSpaceDN w:val="0"/>
        <w:spacing w:line="276" w:lineRule="auto"/>
        <w:ind w:firstLine="567"/>
        <w:contextualSpacing/>
        <w:jc w:val="both"/>
        <w:rPr>
          <w:rFonts w:eastAsia="SimSun"/>
          <w:b/>
          <w:lang w:eastAsia="en-US"/>
        </w:rPr>
      </w:pPr>
    </w:p>
    <w:p w:rsidR="00085221" w:rsidRDefault="00085221" w:rsidP="00085221">
      <w:pPr>
        <w:shd w:val="clear" w:color="auto" w:fill="FFFFFF"/>
        <w:tabs>
          <w:tab w:val="left" w:pos="0"/>
        </w:tabs>
        <w:autoSpaceDE w:val="0"/>
        <w:autoSpaceDN w:val="0"/>
        <w:spacing w:line="276" w:lineRule="auto"/>
        <w:jc w:val="both"/>
        <w:rPr>
          <w:b/>
        </w:rPr>
      </w:pPr>
    </w:p>
    <w:p w:rsidR="00725628" w:rsidRPr="00017157" w:rsidRDefault="00725628" w:rsidP="00085221">
      <w:pPr>
        <w:shd w:val="clear" w:color="auto" w:fill="FFFFFF"/>
        <w:tabs>
          <w:tab w:val="left" w:pos="0"/>
        </w:tabs>
        <w:autoSpaceDE w:val="0"/>
        <w:autoSpaceDN w:val="0"/>
        <w:spacing w:line="276" w:lineRule="auto"/>
        <w:jc w:val="both"/>
        <w:rPr>
          <w:b/>
        </w:rPr>
      </w:pPr>
    </w:p>
    <w:p w:rsidR="00085221" w:rsidRPr="00017157" w:rsidRDefault="00085221" w:rsidP="00085221">
      <w:pPr>
        <w:shd w:val="clear" w:color="auto" w:fill="FFFFFF"/>
        <w:tabs>
          <w:tab w:val="left" w:pos="0"/>
        </w:tabs>
        <w:spacing w:line="276" w:lineRule="auto"/>
        <w:ind w:firstLine="567"/>
        <w:jc w:val="both"/>
        <w:rPr>
          <w:highlight w:val="yellow"/>
          <w:lang w:val="en-US"/>
        </w:rPr>
      </w:pPr>
    </w:p>
    <w:sectPr w:rsidR="00085221" w:rsidRPr="00017157" w:rsidSect="00606710">
      <w:pgSz w:w="11906" w:h="16838"/>
      <w:pgMar w:top="184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9CB"/>
    <w:multiLevelType w:val="hybridMultilevel"/>
    <w:tmpl w:val="36FCAA80"/>
    <w:lvl w:ilvl="0" w:tplc="7C2AE900">
      <w:start w:val="2"/>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
    <w:nsid w:val="381B2E70"/>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
    <w:nsid w:val="477E7877"/>
    <w:multiLevelType w:val="hybridMultilevel"/>
    <w:tmpl w:val="BD36501E"/>
    <w:lvl w:ilvl="0" w:tplc="FBDCF27A">
      <w:start w:val="8"/>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541A341C"/>
    <w:multiLevelType w:val="hybridMultilevel"/>
    <w:tmpl w:val="720CC2DE"/>
    <w:lvl w:ilvl="0" w:tplc="C25A9FDE">
      <w:start w:val="2"/>
      <w:numFmt w:val="decimal"/>
      <w:lvlText w:val="%1)"/>
      <w:lvlJc w:val="left"/>
      <w:pPr>
        <w:ind w:left="930" w:hanging="360"/>
      </w:pPr>
      <w:rPr>
        <w:rFonts w:ascii="TmsCyr" w:hAnsi="TmsCyr"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67F74859"/>
    <w:multiLevelType w:val="hybridMultilevel"/>
    <w:tmpl w:val="FACC202E"/>
    <w:lvl w:ilvl="0" w:tplc="029A2ADE">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6D437C36"/>
    <w:multiLevelType w:val="multilevel"/>
    <w:tmpl w:val="EC80996E"/>
    <w:lvl w:ilvl="0">
      <w:start w:val="1"/>
      <w:numFmt w:val="upperRoman"/>
      <w:lvlText w:val="%1."/>
      <w:lvlJc w:val="right"/>
      <w:pPr>
        <w:ind w:left="927" w:hanging="360"/>
      </w:pPr>
      <w:rPr>
        <w:rFonts w:hint="default"/>
        <w:b/>
      </w:rPr>
    </w:lvl>
    <w:lvl w:ilvl="1">
      <w:start w:val="4"/>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7">
    <w:nsid w:val="772E6548"/>
    <w:multiLevelType w:val="hybridMultilevel"/>
    <w:tmpl w:val="720CC2DE"/>
    <w:lvl w:ilvl="0" w:tplc="C25A9FDE">
      <w:start w:val="2"/>
      <w:numFmt w:val="decimal"/>
      <w:lvlText w:val="%1)"/>
      <w:lvlJc w:val="left"/>
      <w:pPr>
        <w:ind w:left="930" w:hanging="360"/>
      </w:pPr>
      <w:rPr>
        <w:rFonts w:ascii="TmsCyr" w:hAnsi="TmsCyr"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8">
    <w:nsid w:val="7C005E99"/>
    <w:multiLevelType w:val="hybridMultilevel"/>
    <w:tmpl w:val="91C22A9A"/>
    <w:lvl w:ilvl="0" w:tplc="014E5502">
      <w:start w:val="1"/>
      <w:numFmt w:val="bullet"/>
      <w:suff w:val="space"/>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19"/>
    <w:rsid w:val="00017157"/>
    <w:rsid w:val="00022625"/>
    <w:rsid w:val="00085221"/>
    <w:rsid w:val="000A6342"/>
    <w:rsid w:val="000B1268"/>
    <w:rsid w:val="000C2D19"/>
    <w:rsid w:val="000C6557"/>
    <w:rsid w:val="0012231E"/>
    <w:rsid w:val="0016503F"/>
    <w:rsid w:val="001C7C30"/>
    <w:rsid w:val="001F1BF5"/>
    <w:rsid w:val="0020342C"/>
    <w:rsid w:val="00241CBA"/>
    <w:rsid w:val="00281088"/>
    <w:rsid w:val="002A0EC2"/>
    <w:rsid w:val="002E3045"/>
    <w:rsid w:val="00321AEB"/>
    <w:rsid w:val="00353DD2"/>
    <w:rsid w:val="003A24C6"/>
    <w:rsid w:val="0041225D"/>
    <w:rsid w:val="00435620"/>
    <w:rsid w:val="004D53DD"/>
    <w:rsid w:val="00586E15"/>
    <w:rsid w:val="00606710"/>
    <w:rsid w:val="00725628"/>
    <w:rsid w:val="00743F20"/>
    <w:rsid w:val="007D4E2D"/>
    <w:rsid w:val="00835A53"/>
    <w:rsid w:val="0085513C"/>
    <w:rsid w:val="00894411"/>
    <w:rsid w:val="008B1368"/>
    <w:rsid w:val="008E4800"/>
    <w:rsid w:val="00944E47"/>
    <w:rsid w:val="00A80EB9"/>
    <w:rsid w:val="00A8488A"/>
    <w:rsid w:val="00B2233D"/>
    <w:rsid w:val="00B6132D"/>
    <w:rsid w:val="00C05FDC"/>
    <w:rsid w:val="00C32372"/>
    <w:rsid w:val="00CA1FB1"/>
    <w:rsid w:val="00CA28D1"/>
    <w:rsid w:val="00D87232"/>
    <w:rsid w:val="00E13C4C"/>
    <w:rsid w:val="00ED3A69"/>
    <w:rsid w:val="00F25EEA"/>
    <w:rsid w:val="00FA317F"/>
    <w:rsid w:val="00FD2F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1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411"/>
    <w:pPr>
      <w:ind w:left="720"/>
      <w:contextualSpacing/>
    </w:pPr>
  </w:style>
  <w:style w:type="paragraph" w:styleId="2">
    <w:name w:val="Body Text Indent 2"/>
    <w:basedOn w:val="a"/>
    <w:link w:val="20"/>
    <w:rsid w:val="00B2233D"/>
    <w:pPr>
      <w:ind w:left="567" w:hanging="567"/>
    </w:pPr>
    <w:rPr>
      <w:rFonts w:ascii="TmsCyr" w:hAnsi="TmsCyr"/>
      <w:sz w:val="28"/>
      <w:szCs w:val="20"/>
    </w:rPr>
  </w:style>
  <w:style w:type="character" w:customStyle="1" w:styleId="20">
    <w:name w:val="Основен текст с отстъп 2 Знак"/>
    <w:basedOn w:val="a0"/>
    <w:link w:val="2"/>
    <w:rsid w:val="00B2233D"/>
    <w:rPr>
      <w:rFonts w:ascii="TmsCyr" w:eastAsia="Times New Roman" w:hAnsi="TmsCyr" w:cs="Times New Roman"/>
      <w:sz w:val="28"/>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1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411"/>
    <w:pPr>
      <w:ind w:left="720"/>
      <w:contextualSpacing/>
    </w:pPr>
  </w:style>
  <w:style w:type="paragraph" w:styleId="2">
    <w:name w:val="Body Text Indent 2"/>
    <w:basedOn w:val="a"/>
    <w:link w:val="20"/>
    <w:rsid w:val="00B2233D"/>
    <w:pPr>
      <w:ind w:left="567" w:hanging="567"/>
    </w:pPr>
    <w:rPr>
      <w:rFonts w:ascii="TmsCyr" w:hAnsi="TmsCyr"/>
      <w:sz w:val="28"/>
      <w:szCs w:val="20"/>
    </w:rPr>
  </w:style>
  <w:style w:type="character" w:customStyle="1" w:styleId="20">
    <w:name w:val="Основен текст с отстъп 2 Знак"/>
    <w:basedOn w:val="a0"/>
    <w:link w:val="2"/>
    <w:rsid w:val="00B2233D"/>
    <w:rPr>
      <w:rFonts w:ascii="TmsCyr" w:eastAsia="Times New Roman" w:hAnsi="TmsCyr" w:cs="Times New Roman"/>
      <w:sz w:val="28"/>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pmj</dc:creator>
  <cp:lastModifiedBy>User</cp:lastModifiedBy>
  <cp:revision>2</cp:revision>
  <dcterms:created xsi:type="dcterms:W3CDTF">2019-02-26T11:50:00Z</dcterms:created>
  <dcterms:modified xsi:type="dcterms:W3CDTF">2019-02-26T11:50:00Z</dcterms:modified>
</cp:coreProperties>
</file>